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47CBC">
      <w:pPr>
        <w:spacing w:line="360" w:lineRule="auto"/>
        <w:jc w:val="center"/>
        <w:rPr>
          <w:rFonts w:ascii="方正小标宋简体" w:hAnsi="黑体" w:eastAsia="方正小标宋简体"/>
          <w:bCs/>
          <w:color w:val="000000"/>
          <w:sz w:val="36"/>
          <w:szCs w:val="36"/>
        </w:rPr>
      </w:pPr>
      <w:bookmarkStart w:id="0" w:name="_Hlk136884028"/>
      <w:bookmarkStart w:id="1" w:name="_GoBack"/>
      <w:r>
        <w:rPr>
          <w:rFonts w:hint="eastAsia" w:ascii="方正小标宋简体" w:hAnsi="黑体" w:eastAsia="方正小标宋简体"/>
          <w:bCs/>
          <w:color w:val="000000"/>
          <w:sz w:val="36"/>
          <w:szCs w:val="36"/>
          <w:highlight w:val="yellow"/>
          <w:lang w:val="en-US" w:eastAsia="zh-CN"/>
        </w:rPr>
        <w:t>安徽省</w:t>
      </w:r>
      <w:r>
        <w:rPr>
          <w:rFonts w:hint="eastAsia" w:ascii="方正小标宋简体" w:hAnsi="黑体" w:eastAsia="方正小标宋简体"/>
          <w:bCs/>
          <w:color w:val="000000"/>
          <w:sz w:val="36"/>
          <w:szCs w:val="36"/>
        </w:rPr>
        <w:t>中国体育彩票排列</w:t>
      </w:r>
      <w:r>
        <w:rPr>
          <w:rFonts w:ascii="方正小标宋简体" w:hAnsi="黑体" w:eastAsia="方正小标宋简体"/>
          <w:bCs/>
          <w:color w:val="000000"/>
          <w:sz w:val="36"/>
          <w:szCs w:val="36"/>
        </w:rPr>
        <w:t>3</w:t>
      </w:r>
      <w:r>
        <w:rPr>
          <w:rFonts w:hint="eastAsia" w:ascii="方正小标宋简体" w:hAnsi="黑体" w:eastAsia="方正小标宋简体"/>
          <w:bCs/>
          <w:color w:val="000000"/>
          <w:sz w:val="36"/>
          <w:szCs w:val="36"/>
        </w:rPr>
        <w:t>游戏风险控制方案</w:t>
      </w:r>
      <w:bookmarkEnd w:id="0"/>
    </w:p>
    <w:bookmarkEnd w:id="1"/>
    <w:p w14:paraId="04098CD1">
      <w:pPr>
        <w:spacing w:line="360" w:lineRule="auto"/>
        <w:jc w:val="center"/>
        <w:rPr>
          <w:rFonts w:ascii="方正小标宋简体" w:hAnsi="黑体" w:eastAsia="方正小标宋简体"/>
          <w:bCs/>
          <w:color w:val="000000"/>
          <w:sz w:val="30"/>
          <w:szCs w:val="30"/>
        </w:rPr>
      </w:pPr>
    </w:p>
    <w:p w14:paraId="1AF75539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根据《中国体育彩票排列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3游戏规则》，</w:t>
      </w:r>
      <w:r>
        <w:rPr>
          <w:rFonts w:ascii="仿宋" w:hAnsi="仿宋" w:eastAsia="仿宋" w:cs="宋体"/>
          <w:color w:val="000000"/>
          <w:kern w:val="0"/>
          <w:sz w:val="30"/>
          <w:szCs w:val="30"/>
          <w:highlight w:val="yellow"/>
        </w:rPr>
        <w:t>我省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中国体育彩票排列3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游戏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（以下简称排列3）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对所有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投注号码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的可投注数量实行限量销售，若投注号码受限，则不能投注。当期最大投注注数由动态实时限制注数和固定限制注数共同决定。</w:t>
      </w:r>
    </w:p>
    <w:p w14:paraId="086DA302">
      <w:pPr>
        <w:pStyle w:val="1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动态实时限制注数</w:t>
      </w:r>
    </w:p>
    <w:p w14:paraId="6FD2AF14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排列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动态实时限制注数由初始投注注数、奖池贡献投注注数以及当前销售额共同确定。</w:t>
      </w:r>
      <w:r>
        <w:rPr>
          <w:rFonts w:hint="eastAsia" w:ascii="仿宋" w:hAnsi="仿宋" w:eastAsia="仿宋" w:cs="宋体"/>
          <w:bCs/>
          <w:color w:val="000000"/>
          <w:kern w:val="0"/>
          <w:sz w:val="30"/>
          <w:szCs w:val="30"/>
        </w:rPr>
        <w:t>具体公式是：</w:t>
      </w:r>
    </w:p>
    <w:p w14:paraId="0F5F908B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期动态实时限制注数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期奖池贡献投注注数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+ </w:t>
      </w:r>
      <m:oMath>
        <m:f>
          <m:fP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期当前销售额×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52%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元）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den>
        </m:f>
      </m:oMath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 w14:paraId="358CB606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其中：第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初始投注调节系数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</w:t>
      </w:r>
      <m:oMath>
        <m:f>
          <m:fP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期初始赔付金额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元）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den>
        </m:f>
      </m:oMath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，初始投注调节系数取值范围为[0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.8,1.2]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 w14:paraId="0177B82E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期初始赔付金额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×5+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×4+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×3+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N-4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×2+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N-5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/10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 w14:paraId="395D0EBE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ap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若第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≥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期销售额，则第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期初始赔付金额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≥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期初始赔付金额。</w:t>
      </w:r>
    </w:p>
    <w:p w14:paraId="29328ECA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期初始投注注数不低于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注，如果上述计算值小于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注，则按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注计算。</w:t>
      </w:r>
    </w:p>
    <w:p w14:paraId="66D1EB8C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期奖池贡献投注注数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奖池贡献调节系数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</w:t>
      </w:r>
      <m:oMath>
        <m:f>
          <m:fP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N−1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期开奖后奖池金额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元）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den>
        </m:f>
      </m:oMath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，奖池贡献调节系数取值范围为[0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,1]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 w14:paraId="559B2C65">
      <w:pPr>
        <w:pStyle w:val="1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固定投注注数</w:t>
      </w:r>
    </w:p>
    <w:p w14:paraId="36AF963D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排列3同时设置单期固定投注注数。当所选投注号码的动态实时限制注数小于等于固定投注注数时，最大投注注数以动态实时限制注数为准，当所选投注号码的动态实时限制注数大于固定投注注数时，以固定投注注数为准。</w:t>
      </w:r>
    </w:p>
    <w:p w14:paraId="59021CB4">
      <w:pPr>
        <w:pStyle w:val="1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各投注方式折算办法</w:t>
      </w:r>
    </w:p>
    <w:p w14:paraId="79B6AD5B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直选、组选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、组选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投注号码消耗投注注数的折算办法为：当销售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注直选投注时，将消耗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注该直选投注号码的投注注数；当销售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时，将消耗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1/3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注对应的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个直选投注号码的投注注数；当销售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时，将消耗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1/6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注对应的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个直选投注号码的投注注数。</w:t>
      </w:r>
    </w:p>
    <w:p w14:paraId="52B4530E"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748A19CC">
      <w:pPr>
        <w:widowControl/>
        <w:shd w:val="clear" w:color="auto" w:fill="FFFFFF"/>
        <w:spacing w:line="360" w:lineRule="auto"/>
        <w:ind w:firstLine="600" w:firstLineChars="200"/>
        <w:jc w:val="left"/>
        <w:rPr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注：调节系数和固定投注注数将依据游戏资金、监管要求等进行调整，具体取值详见官方发布的相关公告。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86580"/>
    <w:multiLevelType w:val="multilevel"/>
    <w:tmpl w:val="0B986580"/>
    <w:lvl w:ilvl="0" w:tentative="0">
      <w:start w:val="1"/>
      <w:numFmt w:val="japaneseCounting"/>
      <w:lvlText w:val="%1、"/>
      <w:lvlJc w:val="left"/>
      <w:pPr>
        <w:ind w:left="12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D7"/>
    <w:rsid w:val="00040BFC"/>
    <w:rsid w:val="00055A82"/>
    <w:rsid w:val="00061529"/>
    <w:rsid w:val="0006702D"/>
    <w:rsid w:val="000B0CD7"/>
    <w:rsid w:val="000E5492"/>
    <w:rsid w:val="000E7524"/>
    <w:rsid w:val="00140ED5"/>
    <w:rsid w:val="001A45CF"/>
    <w:rsid w:val="001C2FA4"/>
    <w:rsid w:val="001C4868"/>
    <w:rsid w:val="001D33B1"/>
    <w:rsid w:val="001E4B6F"/>
    <w:rsid w:val="0021667F"/>
    <w:rsid w:val="00232745"/>
    <w:rsid w:val="002511EE"/>
    <w:rsid w:val="002644D8"/>
    <w:rsid w:val="00271B69"/>
    <w:rsid w:val="0029026D"/>
    <w:rsid w:val="00293BD8"/>
    <w:rsid w:val="002D3728"/>
    <w:rsid w:val="00300E88"/>
    <w:rsid w:val="00312D35"/>
    <w:rsid w:val="0031618A"/>
    <w:rsid w:val="00330602"/>
    <w:rsid w:val="00391517"/>
    <w:rsid w:val="003D413F"/>
    <w:rsid w:val="004108C1"/>
    <w:rsid w:val="00417B2C"/>
    <w:rsid w:val="0046317E"/>
    <w:rsid w:val="00483E4B"/>
    <w:rsid w:val="00494931"/>
    <w:rsid w:val="004C0810"/>
    <w:rsid w:val="004C193A"/>
    <w:rsid w:val="00504303"/>
    <w:rsid w:val="0050690D"/>
    <w:rsid w:val="005135A4"/>
    <w:rsid w:val="00521D2A"/>
    <w:rsid w:val="00530586"/>
    <w:rsid w:val="00542C63"/>
    <w:rsid w:val="00556A6C"/>
    <w:rsid w:val="006127D2"/>
    <w:rsid w:val="00635902"/>
    <w:rsid w:val="006601D1"/>
    <w:rsid w:val="00665C33"/>
    <w:rsid w:val="006A7A39"/>
    <w:rsid w:val="006D4BDB"/>
    <w:rsid w:val="006D7919"/>
    <w:rsid w:val="006F2EB6"/>
    <w:rsid w:val="00771ADD"/>
    <w:rsid w:val="00776301"/>
    <w:rsid w:val="007A2A2D"/>
    <w:rsid w:val="007C065B"/>
    <w:rsid w:val="007C2A6E"/>
    <w:rsid w:val="007D40F4"/>
    <w:rsid w:val="00802C42"/>
    <w:rsid w:val="0081201C"/>
    <w:rsid w:val="0081560D"/>
    <w:rsid w:val="00827995"/>
    <w:rsid w:val="00832FBC"/>
    <w:rsid w:val="00885CD8"/>
    <w:rsid w:val="008B3175"/>
    <w:rsid w:val="008C3B11"/>
    <w:rsid w:val="008E6892"/>
    <w:rsid w:val="008F06A6"/>
    <w:rsid w:val="0090640E"/>
    <w:rsid w:val="00907B88"/>
    <w:rsid w:val="009256A9"/>
    <w:rsid w:val="00967972"/>
    <w:rsid w:val="00975C9B"/>
    <w:rsid w:val="009C20E8"/>
    <w:rsid w:val="009C5234"/>
    <w:rsid w:val="00A170BC"/>
    <w:rsid w:val="00A2048E"/>
    <w:rsid w:val="00A300EE"/>
    <w:rsid w:val="00A373AC"/>
    <w:rsid w:val="00A40753"/>
    <w:rsid w:val="00A46363"/>
    <w:rsid w:val="00A8629D"/>
    <w:rsid w:val="00A91247"/>
    <w:rsid w:val="00AB69D9"/>
    <w:rsid w:val="00AC5393"/>
    <w:rsid w:val="00AD17D1"/>
    <w:rsid w:val="00AD3340"/>
    <w:rsid w:val="00AE13FD"/>
    <w:rsid w:val="00B258F4"/>
    <w:rsid w:val="00B97302"/>
    <w:rsid w:val="00BE5D9D"/>
    <w:rsid w:val="00C1035B"/>
    <w:rsid w:val="00C35310"/>
    <w:rsid w:val="00C52F80"/>
    <w:rsid w:val="00C54978"/>
    <w:rsid w:val="00CC579D"/>
    <w:rsid w:val="00CD372A"/>
    <w:rsid w:val="00CF3A2A"/>
    <w:rsid w:val="00D0535C"/>
    <w:rsid w:val="00D4170B"/>
    <w:rsid w:val="00D453E5"/>
    <w:rsid w:val="00D777FF"/>
    <w:rsid w:val="00D81ED5"/>
    <w:rsid w:val="00DA122E"/>
    <w:rsid w:val="00DA1293"/>
    <w:rsid w:val="00E056C2"/>
    <w:rsid w:val="00E06013"/>
    <w:rsid w:val="00E63799"/>
    <w:rsid w:val="00E74186"/>
    <w:rsid w:val="00E84C1C"/>
    <w:rsid w:val="00EA465D"/>
    <w:rsid w:val="00EB5055"/>
    <w:rsid w:val="00F11E2C"/>
    <w:rsid w:val="00F50C89"/>
    <w:rsid w:val="00F553A4"/>
    <w:rsid w:val="00F76932"/>
    <w:rsid w:val="00F86F01"/>
    <w:rsid w:val="00FB01F1"/>
    <w:rsid w:val="00FD63E3"/>
    <w:rsid w:val="00FF6C84"/>
    <w:rsid w:val="7284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styleId="16">
    <w:name w:val="Placeholder Text"/>
    <w:basedOn w:val="8"/>
    <w:semiHidden/>
    <w:qFormat/>
    <w:uiPriority w:val="99"/>
    <w:rPr>
      <w:color w:val="808080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8A6B-E5AB-450A-9FAD-6E2D8C1CBB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763</Words>
  <Characters>822</Characters>
  <Lines>6</Lines>
  <Paragraphs>1</Paragraphs>
  <TotalTime>683</TotalTime>
  <ScaleCrop>false</ScaleCrop>
  <LinksUpToDate>false</LinksUpToDate>
  <CharactersWithSpaces>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2021-11-17T08:14:00Z</dcterms:created>
  <dc:creator>supeng</dc:creator>
  <cp:lastModifiedBy>你说啥</cp:lastModifiedBy>
  <dcterms:modified xsi:type="dcterms:W3CDTF">2025-08-25T08:50:09Z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eyJoZGlkIjoiYzY2ZWVmMGU4NGI3NDZhZTkxYjdjMmU2M2FjNzQ3NDAiLCJ1c2VySWQiOiIxMjAzMTk5MzU3In0=</vt:lpwstr>
  </property>
  <property fmtid="{D5CDD505-2E9C-101B-9397-08002B2CF9AE}" pid="3" name="KSOProductBuildVer">
    <vt:lpwstr>2052-12.1.0.22529</vt:lpwstr>
  </property>
  <property fmtid="{D5CDD505-2E9C-101B-9397-08002B2CF9AE}" pid="4" name="ICV">
    <vt:lpwstr>BB83BAC91C0D41BAB64F27F57B3B3268_13</vt:lpwstr>
  </property>
</Properties>
</file>